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2A34C" w14:textId="3384E717" w:rsidR="00893C5B" w:rsidRDefault="00893C5B" w:rsidP="009D152F">
      <w:pPr>
        <w:tabs>
          <w:tab w:val="num" w:pos="360"/>
        </w:tabs>
      </w:pPr>
    </w:p>
    <w:p w14:paraId="3AFD9985" w14:textId="2C279622" w:rsidR="00893C5B" w:rsidRDefault="00D31D31" w:rsidP="00893C5B">
      <w:pPr>
        <w:pStyle w:val="ListParagraph"/>
        <w:ind w:left="360"/>
        <w:jc w:val="center"/>
        <w:rPr>
          <w:b/>
          <w:bCs/>
        </w:rPr>
      </w:pPr>
      <w:r>
        <w:rPr>
          <w:b/>
          <w:bCs/>
        </w:rPr>
        <w:t xml:space="preserve">Counter </w:t>
      </w:r>
      <w:r w:rsidR="00C25BC5">
        <w:rPr>
          <w:b/>
          <w:bCs/>
        </w:rPr>
        <w:t>Fire</w:t>
      </w:r>
      <w:r w:rsidR="00893C5B">
        <w:rPr>
          <w:b/>
          <w:bCs/>
        </w:rPr>
        <w:t xml:space="preserve"> Door Specifications</w:t>
      </w:r>
    </w:p>
    <w:p w14:paraId="033C960C" w14:textId="77777777" w:rsidR="00893C5B" w:rsidRDefault="00893C5B" w:rsidP="00893C5B">
      <w:pPr>
        <w:pStyle w:val="ListParagraph"/>
        <w:ind w:left="360"/>
        <w:rPr>
          <w:b/>
          <w:bCs/>
        </w:rPr>
      </w:pPr>
    </w:p>
    <w:p w14:paraId="7CEA392B" w14:textId="77777777" w:rsidR="00787501" w:rsidRDefault="003B4DCB" w:rsidP="00787501">
      <w:pPr>
        <w:pStyle w:val="Heading1"/>
      </w:pPr>
      <w:r w:rsidRPr="00787501">
        <w:t>General</w:t>
      </w:r>
    </w:p>
    <w:p w14:paraId="4837B5DF" w14:textId="4CF3587F" w:rsidR="00380194" w:rsidRDefault="003B4DCB" w:rsidP="00380194">
      <w:pPr>
        <w:pStyle w:val="Heading2"/>
      </w:pPr>
      <w:r w:rsidRPr="00787501">
        <w:t>Summary</w:t>
      </w:r>
    </w:p>
    <w:p w14:paraId="272D5B3A" w14:textId="1EEE76FD" w:rsidR="0075365E" w:rsidRPr="00380194" w:rsidRDefault="00F761BC" w:rsidP="00380194">
      <w:pPr>
        <w:pStyle w:val="Heading2"/>
        <w:numPr>
          <w:ilvl w:val="2"/>
          <w:numId w:val="5"/>
        </w:numPr>
        <w:rPr>
          <w:b w:val="0"/>
          <w:bCs w:val="0"/>
        </w:rPr>
      </w:pPr>
      <w:r>
        <w:rPr>
          <w:b w:val="0"/>
          <w:bCs w:val="0"/>
        </w:rPr>
        <w:t>Counter f</w:t>
      </w:r>
      <w:r w:rsidR="00C25BC5">
        <w:rPr>
          <w:b w:val="0"/>
          <w:bCs w:val="0"/>
        </w:rPr>
        <w:t>ire</w:t>
      </w:r>
      <w:r w:rsidR="000F2DF9" w:rsidRPr="00380194">
        <w:rPr>
          <w:b w:val="0"/>
          <w:bCs w:val="0"/>
        </w:rPr>
        <w:t xml:space="preserve"> doors excluding design, construction</w:t>
      </w:r>
      <w:r w:rsidR="0075365E" w:rsidRPr="00380194">
        <w:rPr>
          <w:b w:val="0"/>
          <w:bCs w:val="0"/>
        </w:rPr>
        <w:t xml:space="preserve"> a</w:t>
      </w:r>
      <w:r w:rsidR="00CD7FD2" w:rsidRPr="00380194">
        <w:rPr>
          <w:b w:val="0"/>
          <w:bCs w:val="0"/>
        </w:rPr>
        <w:t xml:space="preserve">nd preparation of openings; finish or field painting; access panels; </w:t>
      </w:r>
      <w:r w:rsidR="001A0EFC">
        <w:rPr>
          <w:b w:val="0"/>
          <w:bCs w:val="0"/>
        </w:rPr>
        <w:t>e</w:t>
      </w:r>
      <w:r w:rsidR="00CD7FD2" w:rsidRPr="00380194">
        <w:rPr>
          <w:b w:val="0"/>
          <w:bCs w:val="0"/>
        </w:rPr>
        <w:t>lectrical wiring, conduit, wire, fuses and disconnect switches</w:t>
      </w:r>
    </w:p>
    <w:p w14:paraId="1F341F14" w14:textId="0496FE16" w:rsidR="00380194" w:rsidRDefault="009076E9" w:rsidP="00380194">
      <w:pPr>
        <w:pStyle w:val="Heading2"/>
      </w:pPr>
      <w:r>
        <w:t>Quality Assurance</w:t>
      </w:r>
    </w:p>
    <w:p w14:paraId="54E42678" w14:textId="7C7C186D" w:rsidR="00874BC9" w:rsidRPr="00874BC9" w:rsidRDefault="00B72B30" w:rsidP="00380194">
      <w:pPr>
        <w:pStyle w:val="Heading2"/>
        <w:numPr>
          <w:ilvl w:val="2"/>
          <w:numId w:val="5"/>
        </w:numPr>
        <w:rPr>
          <w:b w:val="0"/>
          <w:bCs w:val="0"/>
        </w:rPr>
      </w:pPr>
      <w:r>
        <w:t>Certification</w:t>
      </w:r>
      <w:r w:rsidR="00CD7FD2" w:rsidRPr="00380194">
        <w:t>:</w:t>
      </w:r>
      <w:r w:rsidR="00CD7FD2" w:rsidRPr="00CD7FD2">
        <w:t xml:space="preserve"> </w:t>
      </w:r>
      <w:r>
        <w:rPr>
          <w:b w:val="0"/>
          <w:bCs w:val="0"/>
        </w:rPr>
        <w:t>Fire doo</w:t>
      </w:r>
      <w:r w:rsidR="00D80987">
        <w:rPr>
          <w:b w:val="0"/>
          <w:bCs w:val="0"/>
        </w:rPr>
        <w:t xml:space="preserve">rs are labelled or certified by </w:t>
      </w:r>
      <w:r w:rsidR="00E63EB8">
        <w:rPr>
          <w:b w:val="0"/>
          <w:bCs w:val="0"/>
        </w:rPr>
        <w:t>Warnock Hersey for the Hourly rating, wall con</w:t>
      </w:r>
      <w:r w:rsidR="009B0044">
        <w:rPr>
          <w:b w:val="0"/>
          <w:bCs w:val="0"/>
        </w:rPr>
        <w:t>struction and size allowed by the listing. Fire doors not in compliance with listing re</w:t>
      </w:r>
      <w:r w:rsidR="00AB2055">
        <w:rPr>
          <w:b w:val="0"/>
          <w:bCs w:val="0"/>
        </w:rPr>
        <w:t>quirements are certified by the man</w:t>
      </w:r>
      <w:r w:rsidR="002D314E">
        <w:rPr>
          <w:b w:val="0"/>
          <w:bCs w:val="0"/>
        </w:rPr>
        <w:t>ufacturer.</w:t>
      </w:r>
    </w:p>
    <w:p w14:paraId="492CA7F6" w14:textId="31A8086B" w:rsidR="005D2B9A" w:rsidRPr="009F38A3" w:rsidRDefault="00E241D2" w:rsidP="00874BC9">
      <w:pPr>
        <w:pStyle w:val="Heading1"/>
      </w:pPr>
      <w:r w:rsidRPr="009F38A3">
        <w:t>Products</w:t>
      </w:r>
    </w:p>
    <w:p w14:paraId="493295BB" w14:textId="77777777" w:rsidR="00C170DC" w:rsidRDefault="00E241D2" w:rsidP="00C170DC">
      <w:pPr>
        <w:pStyle w:val="Heading2"/>
      </w:pPr>
      <w:r w:rsidRPr="009F38A3">
        <w:t>Materials</w:t>
      </w:r>
    </w:p>
    <w:p w14:paraId="49FBA5F3" w14:textId="28918499" w:rsidR="00E1445A" w:rsidRDefault="00E241D2" w:rsidP="000F5DA7">
      <w:pPr>
        <w:pStyle w:val="Heading2"/>
        <w:numPr>
          <w:ilvl w:val="2"/>
          <w:numId w:val="5"/>
        </w:numPr>
        <w:rPr>
          <w:b w:val="0"/>
          <w:bCs w:val="0"/>
        </w:rPr>
      </w:pPr>
      <w:r w:rsidRPr="00C170DC">
        <w:t>Manufacturer:</w:t>
      </w:r>
      <w:r w:rsidRPr="00E241D2">
        <w:t xml:space="preserve"> </w:t>
      </w:r>
      <w:r w:rsidRPr="00C170DC">
        <w:rPr>
          <w:b w:val="0"/>
          <w:bCs w:val="0"/>
        </w:rPr>
        <w:t>R&amp;S Manufacturing</w:t>
      </w:r>
    </w:p>
    <w:p w14:paraId="5BC508FE" w14:textId="77777777" w:rsidR="00682D9D" w:rsidRDefault="00682D9D" w:rsidP="00E1445A">
      <w:pPr>
        <w:pStyle w:val="Heading2"/>
        <w:numPr>
          <w:ilvl w:val="3"/>
          <w:numId w:val="5"/>
        </w:numPr>
        <w:rPr>
          <w:b w:val="0"/>
          <w:bCs w:val="0"/>
        </w:rPr>
      </w:pPr>
      <w:r>
        <w:rPr>
          <w:b w:val="0"/>
          <w:bCs w:val="0"/>
        </w:rPr>
        <w:t xml:space="preserve">Steel: </w:t>
      </w:r>
      <w:r w:rsidR="00E1445A">
        <w:rPr>
          <w:b w:val="0"/>
          <w:bCs w:val="0"/>
        </w:rPr>
        <w:t>M</w:t>
      </w:r>
      <w:r w:rsidR="00E241D2" w:rsidRPr="00C170DC">
        <w:rPr>
          <w:b w:val="0"/>
          <w:bCs w:val="0"/>
        </w:rPr>
        <w:t xml:space="preserve">odel </w:t>
      </w:r>
      <w:r w:rsidR="0011720B">
        <w:rPr>
          <w:b w:val="0"/>
          <w:bCs w:val="0"/>
        </w:rPr>
        <w:t>L</w:t>
      </w:r>
      <w:r w:rsidR="00E241D2" w:rsidRPr="00C170DC">
        <w:rPr>
          <w:b w:val="0"/>
          <w:bCs w:val="0"/>
        </w:rPr>
        <w:t>___</w:t>
      </w:r>
    </w:p>
    <w:p w14:paraId="09102235" w14:textId="4D4832CE" w:rsidR="00C170DC" w:rsidRPr="00C170DC" w:rsidRDefault="00682D9D" w:rsidP="00E1445A">
      <w:pPr>
        <w:pStyle w:val="Heading2"/>
        <w:numPr>
          <w:ilvl w:val="3"/>
          <w:numId w:val="5"/>
        </w:numPr>
        <w:rPr>
          <w:b w:val="0"/>
          <w:bCs w:val="0"/>
        </w:rPr>
      </w:pPr>
      <w:r>
        <w:rPr>
          <w:b w:val="0"/>
          <w:bCs w:val="0"/>
        </w:rPr>
        <w:t>S</w:t>
      </w:r>
      <w:r w:rsidR="00B63D11">
        <w:rPr>
          <w:b w:val="0"/>
          <w:bCs w:val="0"/>
        </w:rPr>
        <w:t xml:space="preserve">tainless </w:t>
      </w:r>
      <w:r>
        <w:rPr>
          <w:b w:val="0"/>
          <w:bCs w:val="0"/>
        </w:rPr>
        <w:t>Steel: M</w:t>
      </w:r>
      <w:r w:rsidRPr="00C170DC">
        <w:rPr>
          <w:b w:val="0"/>
          <w:bCs w:val="0"/>
        </w:rPr>
        <w:t xml:space="preserve">odel </w:t>
      </w:r>
      <w:r w:rsidR="00B63D11">
        <w:rPr>
          <w:b w:val="0"/>
          <w:bCs w:val="0"/>
        </w:rPr>
        <w:t>S</w:t>
      </w:r>
      <w:r>
        <w:rPr>
          <w:b w:val="0"/>
          <w:bCs w:val="0"/>
        </w:rPr>
        <w:t>L</w:t>
      </w:r>
      <w:r w:rsidRPr="00C170DC">
        <w:rPr>
          <w:b w:val="0"/>
          <w:bCs w:val="0"/>
        </w:rPr>
        <w:t>___</w:t>
      </w:r>
    </w:p>
    <w:p w14:paraId="506AC683" w14:textId="2323E707" w:rsidR="00C170DC" w:rsidRDefault="000137F3" w:rsidP="00C170DC">
      <w:pPr>
        <w:pStyle w:val="Heading2"/>
        <w:numPr>
          <w:ilvl w:val="2"/>
          <w:numId w:val="5"/>
        </w:numPr>
      </w:pPr>
      <w:r w:rsidRPr="00C170DC">
        <w:t>Mounting</w:t>
      </w:r>
      <w:r w:rsidR="00B24F9D">
        <w:t>:</w:t>
      </w:r>
      <w:r w:rsidRPr="00C170DC">
        <w:rPr>
          <w:b w:val="0"/>
          <w:bCs w:val="0"/>
        </w:rPr>
        <w:t xml:space="preserve"> </w:t>
      </w:r>
      <w:r w:rsidR="00B24F9D">
        <w:rPr>
          <w:b w:val="0"/>
          <w:bCs w:val="0"/>
        </w:rPr>
        <w:t>F</w:t>
      </w:r>
      <w:r w:rsidRPr="00C170DC">
        <w:rPr>
          <w:b w:val="0"/>
          <w:bCs w:val="0"/>
        </w:rPr>
        <w:t>ace of wall or between-jamb</w:t>
      </w:r>
    </w:p>
    <w:p w14:paraId="0711DAAF" w14:textId="6A76AEE3" w:rsidR="00897467" w:rsidRPr="00897467" w:rsidRDefault="000137F3" w:rsidP="00C01331">
      <w:pPr>
        <w:pStyle w:val="Heading2"/>
        <w:numPr>
          <w:ilvl w:val="2"/>
          <w:numId w:val="5"/>
        </w:numPr>
        <w:rPr>
          <w:b w:val="0"/>
          <w:bCs w:val="0"/>
        </w:rPr>
      </w:pPr>
      <w:r w:rsidRPr="00C170DC">
        <w:t>Operation:</w:t>
      </w:r>
      <w:r w:rsidRPr="000137F3">
        <w:t xml:space="preserve"> </w:t>
      </w:r>
      <w:r w:rsidR="00145C8F">
        <w:rPr>
          <w:b w:val="0"/>
          <w:bCs w:val="0"/>
        </w:rPr>
        <w:t>Push-up</w:t>
      </w:r>
      <w:r w:rsidR="00CB712A">
        <w:rPr>
          <w:b w:val="0"/>
          <w:bCs w:val="0"/>
        </w:rPr>
        <w:t xml:space="preserve"> to 12’ wide</w:t>
      </w:r>
      <w:r w:rsidR="00CB4242">
        <w:rPr>
          <w:b w:val="0"/>
          <w:bCs w:val="0"/>
        </w:rPr>
        <w:t xml:space="preserve"> and</w:t>
      </w:r>
      <w:r w:rsidRPr="00C170DC">
        <w:rPr>
          <w:b w:val="0"/>
          <w:bCs w:val="0"/>
        </w:rPr>
        <w:t xml:space="preserve"> awning crank</w:t>
      </w:r>
      <w:r w:rsidR="00CB4242">
        <w:rPr>
          <w:b w:val="0"/>
          <w:bCs w:val="0"/>
        </w:rPr>
        <w:t xml:space="preserve"> on larger sizes is </w:t>
      </w:r>
      <w:r w:rsidR="00E0071B">
        <w:rPr>
          <w:b w:val="0"/>
          <w:bCs w:val="0"/>
        </w:rPr>
        <w:t>standard.</w:t>
      </w:r>
      <w:r w:rsidRPr="00C170DC">
        <w:rPr>
          <w:b w:val="0"/>
          <w:bCs w:val="0"/>
        </w:rPr>
        <w:t xml:space="preserve"> </w:t>
      </w:r>
      <w:r w:rsidR="00E0071B">
        <w:rPr>
          <w:b w:val="0"/>
          <w:bCs w:val="0"/>
        </w:rPr>
        <w:t>C</w:t>
      </w:r>
      <w:r w:rsidR="00AF7EFC">
        <w:rPr>
          <w:b w:val="0"/>
          <w:bCs w:val="0"/>
        </w:rPr>
        <w:t>hain hoist</w:t>
      </w:r>
      <w:r w:rsidRPr="00C170DC">
        <w:rPr>
          <w:b w:val="0"/>
          <w:bCs w:val="0"/>
        </w:rPr>
        <w:t>, or motor operation are optional.</w:t>
      </w:r>
    </w:p>
    <w:p w14:paraId="2C0CB096" w14:textId="0B788AFD" w:rsidR="00897467" w:rsidRPr="00783125" w:rsidRDefault="00897467" w:rsidP="00C170DC">
      <w:pPr>
        <w:pStyle w:val="Heading2"/>
        <w:numPr>
          <w:ilvl w:val="2"/>
          <w:numId w:val="5"/>
        </w:numPr>
      </w:pPr>
      <w:r w:rsidRPr="00783125">
        <w:t>Automatic Closing</w:t>
      </w:r>
      <w:r w:rsidR="00783125" w:rsidRPr="00783125">
        <w:t xml:space="preserve">: </w:t>
      </w:r>
      <w:r w:rsidR="00783125">
        <w:rPr>
          <w:b w:val="0"/>
          <w:bCs w:val="0"/>
        </w:rPr>
        <w:t>Thermally activated by 165</w:t>
      </w:r>
      <w:r w:rsidR="00042AB2">
        <w:rPr>
          <w:rFonts w:cstheme="minorHAnsi"/>
          <w:b w:val="0"/>
          <w:bCs w:val="0"/>
        </w:rPr>
        <w:t>°</w:t>
      </w:r>
      <w:r w:rsidR="00042AB2">
        <w:rPr>
          <w:b w:val="0"/>
          <w:bCs w:val="0"/>
        </w:rPr>
        <w:t xml:space="preserve"> fusible links</w:t>
      </w:r>
      <w:r w:rsidR="00117750">
        <w:rPr>
          <w:b w:val="0"/>
          <w:bCs w:val="0"/>
        </w:rPr>
        <w:t>, with the closing speed regulated by a governor devi</w:t>
      </w:r>
      <w:r w:rsidR="007416A0">
        <w:rPr>
          <w:b w:val="0"/>
          <w:bCs w:val="0"/>
        </w:rPr>
        <w:t>ce operative only during automatic closing.</w:t>
      </w:r>
    </w:p>
    <w:p w14:paraId="62C6F00E" w14:textId="12C8C853" w:rsidR="00C170DC" w:rsidRPr="00C170DC" w:rsidRDefault="000137F3" w:rsidP="00C170DC">
      <w:pPr>
        <w:pStyle w:val="Heading2"/>
        <w:numPr>
          <w:ilvl w:val="2"/>
          <w:numId w:val="5"/>
        </w:numPr>
        <w:rPr>
          <w:b w:val="0"/>
          <w:bCs w:val="0"/>
        </w:rPr>
      </w:pPr>
      <w:r w:rsidRPr="00C170DC">
        <w:t>Curtain:</w:t>
      </w:r>
      <w:r w:rsidRPr="000137F3">
        <w:t xml:space="preserve"> </w:t>
      </w:r>
      <w:r w:rsidRPr="00C170DC">
        <w:rPr>
          <w:b w:val="0"/>
          <w:bCs w:val="0"/>
        </w:rPr>
        <w:t>Interlocking type</w:t>
      </w:r>
      <w:r w:rsidR="004E4062">
        <w:rPr>
          <w:b w:val="0"/>
          <w:bCs w:val="0"/>
        </w:rPr>
        <w:t xml:space="preserve"> 17</w:t>
      </w:r>
      <w:r w:rsidRPr="00C170DC">
        <w:rPr>
          <w:b w:val="0"/>
          <w:bCs w:val="0"/>
        </w:rPr>
        <w:t xml:space="preserve"> slats are roll formed from </w:t>
      </w:r>
      <w:r w:rsidR="002F74A2">
        <w:rPr>
          <w:b w:val="0"/>
          <w:bCs w:val="0"/>
        </w:rPr>
        <w:t>(</w:t>
      </w:r>
      <w:r w:rsidRPr="00C170DC">
        <w:rPr>
          <w:b w:val="0"/>
          <w:bCs w:val="0"/>
        </w:rPr>
        <w:t>galvanized steel</w:t>
      </w:r>
      <w:r w:rsidR="002F74A2">
        <w:rPr>
          <w:b w:val="0"/>
          <w:bCs w:val="0"/>
        </w:rPr>
        <w:t>) (stainless steel)</w:t>
      </w:r>
      <w:r w:rsidRPr="00C170DC">
        <w:rPr>
          <w:b w:val="0"/>
          <w:bCs w:val="0"/>
        </w:rPr>
        <w:t xml:space="preserve"> coil. Ga</w:t>
      </w:r>
      <w:r w:rsidR="00EE32D3" w:rsidRPr="00C170DC">
        <w:rPr>
          <w:b w:val="0"/>
          <w:bCs w:val="0"/>
        </w:rPr>
        <w:t>u</w:t>
      </w:r>
      <w:r w:rsidRPr="00C170DC">
        <w:rPr>
          <w:b w:val="0"/>
          <w:bCs w:val="0"/>
        </w:rPr>
        <w:t xml:space="preserve">ge of slats is as required </w:t>
      </w:r>
      <w:r w:rsidR="00DE15EA">
        <w:rPr>
          <w:b w:val="0"/>
          <w:bCs w:val="0"/>
        </w:rPr>
        <w:t>by listing</w:t>
      </w:r>
      <w:r w:rsidRPr="00C170DC">
        <w:rPr>
          <w:b w:val="0"/>
          <w:bCs w:val="0"/>
        </w:rPr>
        <w:t>. Endlocks are riveted to slats to maintain curtain alignment. Bottom of curtain is reinforced by a</w:t>
      </w:r>
      <w:r w:rsidR="004162AA">
        <w:rPr>
          <w:b w:val="0"/>
          <w:bCs w:val="0"/>
        </w:rPr>
        <w:t xml:space="preserve"> </w:t>
      </w:r>
      <w:r w:rsidR="0002518E">
        <w:rPr>
          <w:b w:val="0"/>
          <w:bCs w:val="0"/>
        </w:rPr>
        <w:t>single</w:t>
      </w:r>
      <w:r w:rsidRPr="00C170DC">
        <w:rPr>
          <w:b w:val="0"/>
          <w:bCs w:val="0"/>
        </w:rPr>
        <w:t xml:space="preserve"> steel angle</w:t>
      </w:r>
      <w:r w:rsidR="006465CD">
        <w:rPr>
          <w:b w:val="0"/>
          <w:bCs w:val="0"/>
        </w:rPr>
        <w:t xml:space="preserve"> or tubular</w:t>
      </w:r>
      <w:r w:rsidR="00AD09B2">
        <w:rPr>
          <w:b w:val="0"/>
          <w:bCs w:val="0"/>
        </w:rPr>
        <w:t xml:space="preserve"> steel</w:t>
      </w:r>
      <w:r w:rsidRPr="00C170DC">
        <w:rPr>
          <w:b w:val="0"/>
          <w:bCs w:val="0"/>
        </w:rPr>
        <w:t xml:space="preserve"> footpiece</w:t>
      </w:r>
      <w:r w:rsidR="009F38A3" w:rsidRPr="00C170DC">
        <w:rPr>
          <w:b w:val="0"/>
          <w:bCs w:val="0"/>
        </w:rPr>
        <w:t>.</w:t>
      </w:r>
    </w:p>
    <w:p w14:paraId="199A67E1" w14:textId="679D9E85" w:rsidR="00C170DC" w:rsidRPr="00C170DC" w:rsidRDefault="009F38A3" w:rsidP="00C170DC">
      <w:pPr>
        <w:pStyle w:val="Heading2"/>
        <w:numPr>
          <w:ilvl w:val="2"/>
          <w:numId w:val="5"/>
        </w:numPr>
        <w:rPr>
          <w:b w:val="0"/>
          <w:bCs w:val="0"/>
        </w:rPr>
      </w:pPr>
      <w:r w:rsidRPr="00C170DC">
        <w:t>Guides:</w:t>
      </w:r>
      <w:r>
        <w:t xml:space="preserve"> </w:t>
      </w:r>
      <w:r w:rsidR="00452F38">
        <w:rPr>
          <w:b w:val="0"/>
          <w:bCs w:val="0"/>
        </w:rPr>
        <w:t xml:space="preserve">Box shaped formed </w:t>
      </w:r>
      <w:r w:rsidR="00B43F83">
        <w:rPr>
          <w:b w:val="0"/>
          <w:bCs w:val="0"/>
        </w:rPr>
        <w:t>(</w:t>
      </w:r>
      <w:r w:rsidR="00452F38">
        <w:rPr>
          <w:b w:val="0"/>
          <w:bCs w:val="0"/>
        </w:rPr>
        <w:t>steel</w:t>
      </w:r>
      <w:r w:rsidR="00B43F83">
        <w:rPr>
          <w:b w:val="0"/>
          <w:bCs w:val="0"/>
        </w:rPr>
        <w:t>) (stainless steel)</w:t>
      </w:r>
      <w:r w:rsidR="00452F38">
        <w:rPr>
          <w:b w:val="0"/>
          <w:bCs w:val="0"/>
        </w:rPr>
        <w:t xml:space="preserve"> guides</w:t>
      </w:r>
      <w:r w:rsidRPr="00C170DC">
        <w:rPr>
          <w:b w:val="0"/>
          <w:bCs w:val="0"/>
        </w:rPr>
        <w:t xml:space="preserve">. Sizes of guides are as required </w:t>
      </w:r>
      <w:r w:rsidR="001B08BE">
        <w:rPr>
          <w:b w:val="0"/>
          <w:bCs w:val="0"/>
        </w:rPr>
        <w:t>by</w:t>
      </w:r>
      <w:r w:rsidR="00751F9B">
        <w:rPr>
          <w:b w:val="0"/>
          <w:bCs w:val="0"/>
        </w:rPr>
        <w:t xml:space="preserve"> the</w:t>
      </w:r>
      <w:r w:rsidR="001B08BE">
        <w:rPr>
          <w:b w:val="0"/>
          <w:bCs w:val="0"/>
        </w:rPr>
        <w:t xml:space="preserve"> listing.</w:t>
      </w:r>
    </w:p>
    <w:p w14:paraId="16334174" w14:textId="4809ED4A" w:rsidR="00C170DC" w:rsidRPr="00C170DC" w:rsidRDefault="003F2256" w:rsidP="00C170DC">
      <w:pPr>
        <w:pStyle w:val="Heading2"/>
        <w:numPr>
          <w:ilvl w:val="2"/>
          <w:numId w:val="5"/>
        </w:numPr>
        <w:rPr>
          <w:b w:val="0"/>
          <w:bCs w:val="0"/>
        </w:rPr>
      </w:pPr>
      <w:r w:rsidRPr="00C170DC">
        <w:t>Brackets:</w:t>
      </w:r>
      <w:r w:rsidRPr="003F2256">
        <w:t xml:space="preserve"> </w:t>
      </w:r>
      <w:r w:rsidRPr="00C170DC">
        <w:rPr>
          <w:b w:val="0"/>
          <w:bCs w:val="0"/>
        </w:rPr>
        <w:t xml:space="preserve">Steel plate brackets are bolted to </w:t>
      </w:r>
      <w:r w:rsidR="00613098">
        <w:rPr>
          <w:b w:val="0"/>
          <w:bCs w:val="0"/>
        </w:rPr>
        <w:t>guides</w:t>
      </w:r>
      <w:r w:rsidRPr="00C170DC">
        <w:rPr>
          <w:b w:val="0"/>
          <w:bCs w:val="0"/>
        </w:rPr>
        <w:t xml:space="preserve"> to support curtain and barrel, and provide mounting for hood.</w:t>
      </w:r>
    </w:p>
    <w:p w14:paraId="2C63F20C" w14:textId="73C733BC" w:rsidR="00C170DC" w:rsidRDefault="003F2256" w:rsidP="00C170DC">
      <w:pPr>
        <w:pStyle w:val="Heading2"/>
        <w:numPr>
          <w:ilvl w:val="2"/>
          <w:numId w:val="5"/>
        </w:numPr>
      </w:pPr>
      <w:r w:rsidRPr="00C170DC">
        <w:t>Barrel:</w:t>
      </w:r>
      <w:r w:rsidRPr="003F2256">
        <w:t xml:space="preserve"> </w:t>
      </w:r>
      <w:r w:rsidR="002426DA">
        <w:rPr>
          <w:b w:val="0"/>
          <w:bCs w:val="0"/>
        </w:rPr>
        <w:t>S</w:t>
      </w:r>
      <w:r w:rsidRPr="00C170DC">
        <w:rPr>
          <w:b w:val="0"/>
          <w:bCs w:val="0"/>
        </w:rPr>
        <w:t>teel pipe houses torsion spring assembly and supports curtain with a maximum deflection of .03 inch per foot of width. Torsion springs are mounted on a continuous cold rolled steel shaft, adjustable by a torsion wheel outside one bracket.</w:t>
      </w:r>
    </w:p>
    <w:p w14:paraId="26FEA20E" w14:textId="7836856B" w:rsidR="00C170DC" w:rsidRPr="00C170DC" w:rsidRDefault="003F2256" w:rsidP="00C170DC">
      <w:pPr>
        <w:pStyle w:val="Heading2"/>
        <w:numPr>
          <w:ilvl w:val="2"/>
          <w:numId w:val="5"/>
        </w:numPr>
        <w:rPr>
          <w:b w:val="0"/>
          <w:bCs w:val="0"/>
        </w:rPr>
      </w:pPr>
      <w:r w:rsidRPr="00C170DC">
        <w:t>Hood:</w:t>
      </w:r>
      <w:r w:rsidRPr="003F2256">
        <w:t xml:space="preserve"> </w:t>
      </w:r>
      <w:r w:rsidR="00EE32D3" w:rsidRPr="00C170DC">
        <w:rPr>
          <w:b w:val="0"/>
          <w:bCs w:val="0"/>
        </w:rPr>
        <w:t>Fo</w:t>
      </w:r>
      <w:r w:rsidRPr="00C170DC">
        <w:rPr>
          <w:b w:val="0"/>
          <w:bCs w:val="0"/>
        </w:rPr>
        <w:t xml:space="preserve">rmed from minimum 24 gauge </w:t>
      </w:r>
      <w:r w:rsidR="002F74A2">
        <w:rPr>
          <w:b w:val="0"/>
          <w:bCs w:val="0"/>
        </w:rPr>
        <w:t>(</w:t>
      </w:r>
      <w:r w:rsidRPr="00C170DC">
        <w:rPr>
          <w:b w:val="0"/>
          <w:bCs w:val="0"/>
        </w:rPr>
        <w:t>galvanized steel</w:t>
      </w:r>
      <w:r w:rsidR="002F74A2">
        <w:rPr>
          <w:b w:val="0"/>
          <w:bCs w:val="0"/>
        </w:rPr>
        <w:t>) (stainless steel)</w:t>
      </w:r>
      <w:r w:rsidRPr="00C170DC">
        <w:rPr>
          <w:b w:val="0"/>
          <w:bCs w:val="0"/>
        </w:rPr>
        <w:t xml:space="preserve"> sheet, reinforced with top and bottom flanges to limit deflection.</w:t>
      </w:r>
    </w:p>
    <w:p w14:paraId="163804B4" w14:textId="5213BFC1" w:rsidR="000D2F7C" w:rsidRPr="00C578AD" w:rsidRDefault="003F2256" w:rsidP="000D2F7C">
      <w:pPr>
        <w:pStyle w:val="Heading2"/>
        <w:numPr>
          <w:ilvl w:val="2"/>
          <w:numId w:val="5"/>
        </w:numPr>
        <w:rPr>
          <w:b w:val="0"/>
          <w:bCs w:val="0"/>
        </w:rPr>
      </w:pPr>
      <w:r w:rsidRPr="00C170DC">
        <w:t>Locking:</w:t>
      </w:r>
      <w:r w:rsidRPr="003F2256">
        <w:t xml:space="preserve"> </w:t>
      </w:r>
      <w:r w:rsidR="000C191C">
        <w:rPr>
          <w:b w:val="0"/>
          <w:bCs w:val="0"/>
        </w:rPr>
        <w:t>Slidebolt</w:t>
      </w:r>
      <w:r w:rsidR="00B6052A">
        <w:rPr>
          <w:b w:val="0"/>
          <w:bCs w:val="0"/>
        </w:rPr>
        <w:t xml:space="preserve"> locks on single angle footpiece </w:t>
      </w:r>
      <w:r w:rsidR="000C191C">
        <w:rPr>
          <w:b w:val="0"/>
          <w:bCs w:val="0"/>
        </w:rPr>
        <w:t>and</w:t>
      </w:r>
      <w:r w:rsidR="00B6052A">
        <w:rPr>
          <w:b w:val="0"/>
          <w:bCs w:val="0"/>
        </w:rPr>
        <w:t xml:space="preserve"> </w:t>
      </w:r>
      <w:r w:rsidR="00D36F11">
        <w:rPr>
          <w:b w:val="0"/>
          <w:bCs w:val="0"/>
        </w:rPr>
        <w:t>cylinder locks on tubular footpiece</w:t>
      </w:r>
      <w:r w:rsidR="000C191C">
        <w:rPr>
          <w:b w:val="0"/>
          <w:bCs w:val="0"/>
        </w:rPr>
        <w:t>.</w:t>
      </w:r>
    </w:p>
    <w:p w14:paraId="6410C66A" w14:textId="77777777" w:rsidR="00C578AD" w:rsidRDefault="00C578AD" w:rsidP="00C578AD">
      <w:pPr>
        <w:pStyle w:val="Heading2"/>
        <w:numPr>
          <w:ilvl w:val="0"/>
          <w:numId w:val="0"/>
        </w:numPr>
        <w:ind w:left="720"/>
      </w:pPr>
    </w:p>
    <w:p w14:paraId="51F6895C" w14:textId="1AD121F7" w:rsidR="00C578AD" w:rsidRPr="00C578AD" w:rsidRDefault="000D2F7C" w:rsidP="00C578AD">
      <w:pPr>
        <w:pStyle w:val="Heading2"/>
      </w:pPr>
      <w:r>
        <w:t>Finish</w:t>
      </w:r>
    </w:p>
    <w:p w14:paraId="180A9611" w14:textId="7FF3788E" w:rsidR="000D2F7C" w:rsidRDefault="007873F2" w:rsidP="000D2F7C">
      <w:pPr>
        <w:pStyle w:val="Heading2"/>
        <w:numPr>
          <w:ilvl w:val="2"/>
          <w:numId w:val="5"/>
        </w:numPr>
        <w:rPr>
          <w:b w:val="0"/>
          <w:bCs w:val="0"/>
        </w:rPr>
      </w:pPr>
      <w:r>
        <w:rPr>
          <w:b w:val="0"/>
          <w:bCs w:val="0"/>
        </w:rPr>
        <w:t>Galvanized steel s</w:t>
      </w:r>
      <w:r w:rsidR="007D2165" w:rsidRPr="00C170DC">
        <w:rPr>
          <w:b w:val="0"/>
          <w:bCs w:val="0"/>
        </w:rPr>
        <w:t xml:space="preserve">lats and hoods are pre-finished with a baked on </w:t>
      </w:r>
      <w:r w:rsidR="002A7B06" w:rsidRPr="00C170DC">
        <w:rPr>
          <w:b w:val="0"/>
          <w:bCs w:val="0"/>
        </w:rPr>
        <w:t>gr</w:t>
      </w:r>
      <w:r w:rsidR="0082715C" w:rsidRPr="00C170DC">
        <w:rPr>
          <w:b w:val="0"/>
          <w:bCs w:val="0"/>
        </w:rPr>
        <w:t>e</w:t>
      </w:r>
      <w:r w:rsidR="002A7B06" w:rsidRPr="00C170DC">
        <w:rPr>
          <w:b w:val="0"/>
          <w:bCs w:val="0"/>
        </w:rPr>
        <w:t>y or tan</w:t>
      </w:r>
      <w:r w:rsidR="007D2165" w:rsidRPr="00C170DC">
        <w:rPr>
          <w:b w:val="0"/>
          <w:bCs w:val="0"/>
        </w:rPr>
        <w:t xml:space="preserve"> polyester primer before forming. Steel footpiece, guides and brackets receive one coat of rust inhibiting primer.</w:t>
      </w:r>
      <w:r w:rsidR="00344396">
        <w:rPr>
          <w:b w:val="0"/>
          <w:bCs w:val="0"/>
        </w:rPr>
        <w:t xml:space="preserve"> Stainless steel </w:t>
      </w:r>
      <w:r w:rsidR="00621DE6">
        <w:rPr>
          <w:b w:val="0"/>
          <w:bCs w:val="0"/>
        </w:rPr>
        <w:t>slats, hoods, foot</w:t>
      </w:r>
      <w:r w:rsidR="00252E4F">
        <w:rPr>
          <w:b w:val="0"/>
          <w:bCs w:val="0"/>
        </w:rPr>
        <w:t>piece, and guides are provided with #4 finish.</w:t>
      </w:r>
    </w:p>
    <w:p w14:paraId="2C28A6B3" w14:textId="77777777" w:rsidR="00FE4FED" w:rsidRDefault="00FE4FED" w:rsidP="00FE4FED">
      <w:pPr>
        <w:pStyle w:val="NoSpacing"/>
      </w:pPr>
    </w:p>
    <w:p w14:paraId="63B7C969" w14:textId="77777777" w:rsidR="00FE4FED" w:rsidRDefault="00FE4FED" w:rsidP="00FE4FED">
      <w:pPr>
        <w:pStyle w:val="NoSpacing"/>
      </w:pPr>
    </w:p>
    <w:p w14:paraId="25251E8E" w14:textId="77777777" w:rsidR="00FE4FED" w:rsidRDefault="00FE4FED" w:rsidP="00FE4FED">
      <w:pPr>
        <w:pStyle w:val="NoSpacing"/>
      </w:pPr>
    </w:p>
    <w:p w14:paraId="7980201B" w14:textId="77777777" w:rsidR="00FE4FED" w:rsidRDefault="00FE4FED" w:rsidP="00FE4FED">
      <w:pPr>
        <w:pStyle w:val="NoSpacing"/>
      </w:pPr>
    </w:p>
    <w:p w14:paraId="5246032F" w14:textId="77777777" w:rsidR="00FE4FED" w:rsidRDefault="00FE4FED" w:rsidP="00FE4FED">
      <w:pPr>
        <w:pStyle w:val="NoSpacing"/>
      </w:pPr>
    </w:p>
    <w:p w14:paraId="3FEB89C1" w14:textId="77777777" w:rsidR="00FE4FED" w:rsidRPr="00C35CA0" w:rsidRDefault="00FE4FED" w:rsidP="00290E63">
      <w:pPr>
        <w:pStyle w:val="Heading1"/>
        <w:numPr>
          <w:ilvl w:val="0"/>
          <w:numId w:val="0"/>
        </w:numPr>
      </w:pPr>
    </w:p>
    <w:p w14:paraId="6E4C0F28" w14:textId="77777777" w:rsidR="00FE4FED" w:rsidRPr="00FE4FED" w:rsidRDefault="00FE4FED" w:rsidP="00FE4FED"/>
    <w:p w14:paraId="10E9D451" w14:textId="13FF3045" w:rsidR="00FE4FED" w:rsidRPr="00FE4FED" w:rsidRDefault="002A7B06" w:rsidP="00FE4FED">
      <w:pPr>
        <w:pStyle w:val="Heading1"/>
      </w:pPr>
      <w:r w:rsidRPr="002A7B06">
        <w:t>Execution</w:t>
      </w:r>
    </w:p>
    <w:p w14:paraId="3E0C3B15" w14:textId="77777777" w:rsidR="00C170DC" w:rsidRDefault="002A7B06" w:rsidP="00C170DC">
      <w:pPr>
        <w:pStyle w:val="Heading2"/>
      </w:pPr>
      <w:r w:rsidRPr="002A7B06">
        <w:t>Installation</w:t>
      </w:r>
    </w:p>
    <w:p w14:paraId="4880C7CF" w14:textId="74F5E923" w:rsidR="00810074" w:rsidRDefault="00F625EF" w:rsidP="005D3154">
      <w:pPr>
        <w:pStyle w:val="Heading2"/>
        <w:numPr>
          <w:ilvl w:val="2"/>
          <w:numId w:val="5"/>
        </w:numPr>
        <w:rPr>
          <w:b w:val="0"/>
          <w:bCs w:val="0"/>
        </w:rPr>
      </w:pPr>
      <w:r>
        <w:rPr>
          <w:b w:val="0"/>
          <w:bCs w:val="0"/>
        </w:rPr>
        <w:t xml:space="preserve">Counter </w:t>
      </w:r>
      <w:r w:rsidR="00B17B91">
        <w:rPr>
          <w:b w:val="0"/>
          <w:bCs w:val="0"/>
        </w:rPr>
        <w:t>f</w:t>
      </w:r>
      <w:r w:rsidR="00810074">
        <w:rPr>
          <w:b w:val="0"/>
          <w:bCs w:val="0"/>
        </w:rPr>
        <w:t>ire doors are to be installed by an R&amp;S authorized representative in accordance with R&amp;S installation instructions and NFPA-80.</w:t>
      </w:r>
    </w:p>
    <w:p w14:paraId="162DF558" w14:textId="4D511BE6" w:rsidR="000F1ADD" w:rsidRDefault="00C634D1" w:rsidP="003229C8">
      <w:pPr>
        <w:pStyle w:val="Heading2"/>
      </w:pPr>
      <w:r>
        <w:t>Testing</w:t>
      </w:r>
    </w:p>
    <w:p w14:paraId="179AC22E" w14:textId="3839D20C" w:rsidR="000F1ADD" w:rsidRPr="000F1ADD" w:rsidRDefault="00B17B91" w:rsidP="00543C19">
      <w:pPr>
        <w:pStyle w:val="Heading2"/>
        <w:numPr>
          <w:ilvl w:val="2"/>
          <w:numId w:val="5"/>
        </w:numPr>
      </w:pPr>
      <w:r>
        <w:rPr>
          <w:b w:val="0"/>
          <w:bCs w:val="0"/>
        </w:rPr>
        <w:t>Counter f</w:t>
      </w:r>
      <w:r w:rsidR="005F639D">
        <w:rPr>
          <w:b w:val="0"/>
          <w:bCs w:val="0"/>
        </w:rPr>
        <w:t>ire do</w:t>
      </w:r>
      <w:r w:rsidR="000C694B">
        <w:rPr>
          <w:b w:val="0"/>
          <w:bCs w:val="0"/>
        </w:rPr>
        <w:t xml:space="preserve">ors are to be drop tested and witnessed for proper </w:t>
      </w:r>
      <w:r w:rsidR="00F0138A">
        <w:rPr>
          <w:b w:val="0"/>
          <w:bCs w:val="0"/>
        </w:rPr>
        <w:t>operation and full closure after installati</w:t>
      </w:r>
      <w:r w:rsidR="005151FA">
        <w:rPr>
          <w:b w:val="0"/>
          <w:bCs w:val="0"/>
        </w:rPr>
        <w:t>on</w:t>
      </w:r>
      <w:r w:rsidR="00543C19">
        <w:tab/>
      </w:r>
    </w:p>
    <w:p w14:paraId="2BA7FE43" w14:textId="03348E02" w:rsidR="003229C8" w:rsidRDefault="00C634D1" w:rsidP="00543C19">
      <w:pPr>
        <w:pStyle w:val="Heading2"/>
      </w:pPr>
      <w:r>
        <w:t>Schedules</w:t>
      </w:r>
    </w:p>
    <w:p w14:paraId="3D445F67" w14:textId="0BC1FE04" w:rsidR="003229C8" w:rsidRPr="00C634D1" w:rsidRDefault="00C634D1" w:rsidP="00C634D1">
      <w:pPr>
        <w:pStyle w:val="Heading2"/>
        <w:numPr>
          <w:ilvl w:val="2"/>
          <w:numId w:val="5"/>
        </w:numPr>
        <w:rPr>
          <w:b w:val="0"/>
          <w:bCs w:val="0"/>
        </w:rPr>
      </w:pPr>
      <w:r w:rsidRPr="00C634D1">
        <w:rPr>
          <w:b w:val="0"/>
          <w:bCs w:val="0"/>
        </w:rPr>
        <w:t>NFPA-</w:t>
      </w:r>
      <w:r>
        <w:rPr>
          <w:b w:val="0"/>
          <w:bCs w:val="0"/>
        </w:rPr>
        <w:t>80 and</w:t>
      </w:r>
      <w:r w:rsidR="005179F3">
        <w:rPr>
          <w:b w:val="0"/>
          <w:bCs w:val="0"/>
        </w:rPr>
        <w:t xml:space="preserve"> </w:t>
      </w:r>
      <w:r w:rsidR="005151FA">
        <w:rPr>
          <w:b w:val="0"/>
          <w:bCs w:val="0"/>
        </w:rPr>
        <w:t xml:space="preserve">model code groups mandate </w:t>
      </w:r>
      <w:r w:rsidR="005179F3">
        <w:rPr>
          <w:b w:val="0"/>
          <w:bCs w:val="0"/>
        </w:rPr>
        <w:t>annual inspection and testing of fire doors to check for proper operation and full closure.</w:t>
      </w:r>
    </w:p>
    <w:p w14:paraId="66FB7BA2" w14:textId="77777777" w:rsidR="005D3154" w:rsidRPr="005D3154" w:rsidRDefault="005D3154" w:rsidP="005D3154">
      <w:pPr>
        <w:pStyle w:val="NoSpacing"/>
      </w:pPr>
    </w:p>
    <w:p w14:paraId="178681D7" w14:textId="678AC391" w:rsidR="00BF6D75" w:rsidRDefault="00BF6D75" w:rsidP="00BF6D75"/>
    <w:p w14:paraId="1A3BD0FD" w14:textId="654F3361" w:rsidR="00BF6D75" w:rsidRDefault="00BF6D75" w:rsidP="00BF6D75"/>
    <w:p w14:paraId="15E91444" w14:textId="72837DA0" w:rsidR="00893C5B" w:rsidRDefault="00C74906" w:rsidP="00893C5B">
      <w:pPr>
        <w:pStyle w:val="ListParagraph"/>
        <w:ind w:left="360"/>
        <w:jc w:val="center"/>
        <w:rPr>
          <w:b/>
          <w:bCs/>
        </w:rPr>
      </w:pPr>
      <w:r>
        <w:rPr>
          <w:b/>
          <w:bCs/>
        </w:rPr>
        <w:t xml:space="preserve">Counter </w:t>
      </w:r>
      <w:r w:rsidR="005179F3">
        <w:rPr>
          <w:b/>
          <w:bCs/>
        </w:rPr>
        <w:t>Fire</w:t>
      </w:r>
      <w:r w:rsidR="00893C5B">
        <w:rPr>
          <w:b/>
          <w:bCs/>
        </w:rPr>
        <w:t xml:space="preserve"> Door </w:t>
      </w:r>
      <w:r w:rsidR="00787501">
        <w:rPr>
          <w:b/>
          <w:bCs/>
        </w:rPr>
        <w:t>Options</w:t>
      </w:r>
    </w:p>
    <w:p w14:paraId="0BA82265" w14:textId="77777777" w:rsidR="00893C5B" w:rsidRDefault="00893C5B" w:rsidP="00893C5B">
      <w:pPr>
        <w:ind w:left="270" w:hanging="270"/>
        <w:jc w:val="center"/>
        <w:rPr>
          <w:b/>
          <w:bCs/>
        </w:rPr>
      </w:pPr>
    </w:p>
    <w:p w14:paraId="155B2934" w14:textId="0990B38C" w:rsidR="001A7EBB" w:rsidRDefault="00B143E7" w:rsidP="00487EED">
      <w:pPr>
        <w:ind w:left="270" w:hanging="270"/>
      </w:pPr>
      <w:r>
        <w:rPr>
          <w:b/>
          <w:bCs/>
        </w:rPr>
        <w:t xml:space="preserve">Smoke Detectors: </w:t>
      </w:r>
      <w:r>
        <w:t>Photo</w:t>
      </w:r>
      <w:r w:rsidR="00C841FC">
        <w:t>electric (detects smoke and heat) or I</w:t>
      </w:r>
      <w:r w:rsidR="00151D07">
        <w:t>onization (detects combustion partic</w:t>
      </w:r>
      <w:r w:rsidR="000241E3">
        <w:t>les); require</w:t>
      </w:r>
      <w:r w:rsidR="003477E3">
        <w:t>s</w:t>
      </w:r>
      <w:r w:rsidR="000241E3">
        <w:t xml:space="preserve"> connection to a release device </w:t>
      </w:r>
      <w:r w:rsidR="003477E3">
        <w:t xml:space="preserve">or compatible fire door </w:t>
      </w:r>
      <w:r w:rsidR="00A62197">
        <w:t>operator</w:t>
      </w:r>
    </w:p>
    <w:p w14:paraId="5B5A857D" w14:textId="2BBB985F" w:rsidR="00A62197" w:rsidRDefault="00B826CD" w:rsidP="00487EED">
      <w:pPr>
        <w:ind w:left="270" w:hanging="270"/>
      </w:pPr>
      <w:r>
        <w:rPr>
          <w:b/>
          <w:bCs/>
        </w:rPr>
        <w:t>Re</w:t>
      </w:r>
      <w:r w:rsidR="00503861">
        <w:rPr>
          <w:b/>
          <w:bCs/>
        </w:rPr>
        <w:t>lease De</w:t>
      </w:r>
      <w:r w:rsidR="006623B9">
        <w:rPr>
          <w:b/>
          <w:bCs/>
        </w:rPr>
        <w:t xml:space="preserve">vices: </w:t>
      </w:r>
      <w:r w:rsidR="00F21926" w:rsidRPr="00F21926">
        <w:t>P</w:t>
      </w:r>
      <w:r w:rsidR="00D71020">
        <w:t>rovide</w:t>
      </w:r>
      <w:r w:rsidR="00F21926">
        <w:t>s</w:t>
      </w:r>
      <w:r w:rsidR="00D71020">
        <w:t xml:space="preserve"> failsafe </w:t>
      </w:r>
      <w:r w:rsidR="00ED770A">
        <w:t xml:space="preserve">activation of </w:t>
      </w:r>
      <w:r w:rsidR="00AF60BF">
        <w:t xml:space="preserve">fire </w:t>
      </w:r>
      <w:r w:rsidR="00523D3C">
        <w:t xml:space="preserve">door, by integrating with building’s alarm system or </w:t>
      </w:r>
      <w:r w:rsidR="00FB3646">
        <w:t>for use as a</w:t>
      </w:r>
      <w:r w:rsidR="006E5BC0">
        <w:t xml:space="preserve"> stand-alone</w:t>
      </w:r>
      <w:r w:rsidR="00FB3646">
        <w:t xml:space="preserve"> localized </w:t>
      </w:r>
      <w:r w:rsidR="006E5BC0">
        <w:t>fire alarm system, when used in conjunction with smoke detectors</w:t>
      </w:r>
    </w:p>
    <w:p w14:paraId="0C1B06E3" w14:textId="70D7D997" w:rsidR="002E6E7D" w:rsidRPr="002333C8" w:rsidRDefault="00972A65" w:rsidP="00487EED">
      <w:pPr>
        <w:ind w:left="270" w:hanging="270"/>
      </w:pPr>
      <w:r>
        <w:rPr>
          <w:b/>
          <w:bCs/>
        </w:rPr>
        <w:t xml:space="preserve">Grifco Chain Hoist: </w:t>
      </w:r>
      <w:r w:rsidR="0076479A">
        <w:t>No-tension-loss chain hoist</w:t>
      </w:r>
      <w:r w:rsidR="00364B42">
        <w:t xml:space="preserve"> for easier installation and reset</w:t>
      </w:r>
    </w:p>
    <w:p w14:paraId="765F1398" w14:textId="1C1428EB" w:rsidR="001E5959" w:rsidRDefault="00102BBA" w:rsidP="00774896">
      <w:pPr>
        <w:ind w:left="270" w:hanging="270"/>
      </w:pPr>
      <w:r>
        <w:rPr>
          <w:b/>
          <w:bCs/>
        </w:rPr>
        <w:t>Fire Door Operator</w:t>
      </w:r>
      <w:r w:rsidR="001E5959" w:rsidRPr="00487EED">
        <w:rPr>
          <w:b/>
          <w:bCs/>
        </w:rPr>
        <w:t>:</w:t>
      </w:r>
      <w:r w:rsidR="001E5959" w:rsidRPr="001E5959">
        <w:t xml:space="preserve"> </w:t>
      </w:r>
      <w:r w:rsidR="00EB3637">
        <w:t>Au</w:t>
      </w:r>
      <w:r w:rsidR="00547AD6">
        <w:t xml:space="preserve">to reset </w:t>
      </w:r>
      <w:r w:rsidR="00780E39">
        <w:t xml:space="preserve">no-tension-loss </w:t>
      </w:r>
      <w:r w:rsidR="00156631">
        <w:t xml:space="preserve">motor </w:t>
      </w:r>
      <w:r w:rsidR="00186501">
        <w:t xml:space="preserve">with activation </w:t>
      </w:r>
      <w:r w:rsidR="00551EC2">
        <w:t xml:space="preserve">from included </w:t>
      </w:r>
      <w:r w:rsidR="008C06A0">
        <w:t>electronic fusible links,</w:t>
      </w:r>
      <w:r w:rsidR="00186501">
        <w:t xml:space="preserve"> building alarm system</w:t>
      </w:r>
      <w:r w:rsidR="008C06A0">
        <w:t>,</w:t>
      </w:r>
      <w:r w:rsidR="00186501">
        <w:t xml:space="preserve"> or </w:t>
      </w:r>
      <w:r w:rsidR="008C06A0">
        <w:t>other optional</w:t>
      </w:r>
      <w:r w:rsidR="00774896">
        <w:t xml:space="preserve"> activation device, such as</w:t>
      </w:r>
      <w:r w:rsidR="008C06A0">
        <w:t xml:space="preserve"> smoke detectors</w:t>
      </w:r>
    </w:p>
    <w:p w14:paraId="1CB4CE6F" w14:textId="33918696" w:rsidR="00527C3D" w:rsidRDefault="005376A0" w:rsidP="00774896">
      <w:pPr>
        <w:ind w:left="270" w:hanging="270"/>
      </w:pPr>
      <w:r>
        <w:rPr>
          <w:b/>
          <w:bCs/>
        </w:rPr>
        <w:t>Perimeter Gasketing</w:t>
      </w:r>
      <w:r w:rsidR="00527C3D" w:rsidRPr="00487EED">
        <w:rPr>
          <w:b/>
          <w:bCs/>
        </w:rPr>
        <w:t>:</w:t>
      </w:r>
      <w:r w:rsidR="00527C3D" w:rsidRPr="00295CC9">
        <w:t xml:space="preserve"> </w:t>
      </w:r>
      <w:r>
        <w:t>Bru</w:t>
      </w:r>
      <w:r w:rsidR="001508BF">
        <w:t>sh seals factory applied to guides and foot</w:t>
      </w:r>
      <w:r w:rsidR="008E30E7">
        <w:t xml:space="preserve">piece, field installed on header, to aid </w:t>
      </w:r>
      <w:r w:rsidR="002462D3">
        <w:t>in smoke and draft control</w:t>
      </w:r>
    </w:p>
    <w:p w14:paraId="7EEF04F5" w14:textId="0EA0D693" w:rsidR="00295CC9" w:rsidRDefault="00295CC9" w:rsidP="00487EED">
      <w:pPr>
        <w:ind w:left="270" w:hanging="270"/>
      </w:pPr>
      <w:r w:rsidRPr="00487EED">
        <w:rPr>
          <w:b/>
          <w:bCs/>
        </w:rPr>
        <w:t xml:space="preserve">Cylinder </w:t>
      </w:r>
      <w:r w:rsidR="00773072" w:rsidRPr="00487EED">
        <w:rPr>
          <w:b/>
          <w:bCs/>
        </w:rPr>
        <w:t>L</w:t>
      </w:r>
      <w:r w:rsidRPr="00487EED">
        <w:rPr>
          <w:b/>
          <w:bCs/>
        </w:rPr>
        <w:t>ocks:</w:t>
      </w:r>
      <w:r w:rsidR="00773072" w:rsidRPr="00773072">
        <w:t xml:space="preserve"> </w:t>
      </w:r>
      <w:r w:rsidR="00773072">
        <w:t>L</w:t>
      </w:r>
      <w:r w:rsidR="00773072" w:rsidRPr="00773072">
        <w:t>ock cylinders mounted on footpiece provide key locking of footpiece mounted slide b</w:t>
      </w:r>
      <w:r w:rsidR="00773072">
        <w:t>olts</w:t>
      </w:r>
    </w:p>
    <w:p w14:paraId="0509530E" w14:textId="59790A01" w:rsidR="00796D3B" w:rsidRDefault="00796D3B" w:rsidP="00487EED">
      <w:pPr>
        <w:ind w:left="270" w:hanging="270"/>
      </w:pPr>
      <w:r w:rsidRPr="00487EED">
        <w:rPr>
          <w:b/>
          <w:bCs/>
        </w:rPr>
        <w:t>Galvanized Finish:</w:t>
      </w:r>
      <w:r>
        <w:t xml:space="preserve"> Hot dipped zinc coating on footpiece, guides, and brackets</w:t>
      </w:r>
    </w:p>
    <w:p w14:paraId="1381A068" w14:textId="1C784CE4" w:rsidR="00796D3B" w:rsidRDefault="00796D3B" w:rsidP="00487EED">
      <w:pPr>
        <w:ind w:left="270" w:hanging="270"/>
      </w:pPr>
      <w:r w:rsidRPr="00487EED">
        <w:rPr>
          <w:b/>
          <w:bCs/>
        </w:rPr>
        <w:t>Powder</w:t>
      </w:r>
      <w:r w:rsidR="002A6E68" w:rsidRPr="00487EED">
        <w:rPr>
          <w:b/>
          <w:bCs/>
        </w:rPr>
        <w:t xml:space="preserve"> C</w:t>
      </w:r>
      <w:r w:rsidRPr="00487EED">
        <w:rPr>
          <w:b/>
          <w:bCs/>
        </w:rPr>
        <w:t xml:space="preserve">oat </w:t>
      </w:r>
      <w:r w:rsidR="002A6E68" w:rsidRPr="00487EED">
        <w:rPr>
          <w:b/>
          <w:bCs/>
        </w:rPr>
        <w:t>F</w:t>
      </w:r>
      <w:r w:rsidRPr="00487EED">
        <w:rPr>
          <w:b/>
          <w:bCs/>
        </w:rPr>
        <w:t>inish</w:t>
      </w:r>
      <w:r w:rsidRPr="00796D3B">
        <w:t>:</w:t>
      </w:r>
      <w:r w:rsidR="002A6E68">
        <w:t xml:space="preserve"> </w:t>
      </w:r>
      <w:r w:rsidR="0082715C">
        <w:t xml:space="preserve"> </w:t>
      </w:r>
      <w:r w:rsidR="00487EED">
        <w:t xml:space="preserve">Powder coating available on all exposed surfaces </w:t>
      </w:r>
    </w:p>
    <w:p w14:paraId="72A63160" w14:textId="77777777" w:rsidR="00BF6D75" w:rsidRDefault="00BF6D75" w:rsidP="00487EED">
      <w:pPr>
        <w:ind w:left="270" w:hanging="270"/>
      </w:pPr>
    </w:p>
    <w:sectPr w:rsidR="00BF6D75" w:rsidSect="00194D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080" w:bottom="1080" w:left="108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1EF1E" w14:textId="77777777" w:rsidR="005C0125" w:rsidRDefault="005C0125" w:rsidP="00BD7D85">
      <w:pPr>
        <w:spacing w:after="0" w:line="240" w:lineRule="auto"/>
      </w:pPr>
      <w:r>
        <w:separator/>
      </w:r>
    </w:p>
  </w:endnote>
  <w:endnote w:type="continuationSeparator" w:id="0">
    <w:p w14:paraId="464C3DA4" w14:textId="77777777" w:rsidR="005C0125" w:rsidRDefault="005C0125" w:rsidP="00BD7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DD8EE" w14:textId="77777777" w:rsidR="00194D39" w:rsidRDefault="00194D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29689" w14:textId="64E549D6" w:rsidR="00BD7D85" w:rsidRPr="00893C5B" w:rsidRDefault="00E05741" w:rsidP="00893C5B">
    <w:pPr>
      <w:tabs>
        <w:tab w:val="center" w:pos="4550"/>
        <w:tab w:val="left" w:pos="5818"/>
        <w:tab w:val="right" w:pos="9100"/>
      </w:tabs>
      <w:ind w:right="260"/>
      <w:rPr>
        <w:color w:val="222A35" w:themeColor="text2" w:themeShade="80"/>
      </w:rPr>
    </w:pPr>
    <w:r>
      <w:t>R&amp;S Manufacturing, Inc</w:t>
    </w:r>
    <w:r>
      <w:rPr>
        <w:color w:val="8496B0" w:themeColor="text2" w:themeTint="99"/>
        <w:spacing w:val="60"/>
      </w:rPr>
      <w:tab/>
    </w:r>
    <w:r>
      <w:rPr>
        <w:color w:val="8496B0" w:themeColor="text2" w:themeTint="99"/>
        <w:spacing w:val="60"/>
      </w:rPr>
      <w:tab/>
    </w:r>
    <w:r>
      <w:rPr>
        <w:color w:val="8496B0" w:themeColor="text2" w:themeTint="99"/>
        <w:spacing w:val="60"/>
      </w:rPr>
      <w:tab/>
    </w:r>
    <w:r w:rsidR="00BD7D85" w:rsidRPr="00757B58">
      <w:rPr>
        <w:color w:val="8496B0" w:themeColor="text2" w:themeTint="99"/>
        <w:spacing w:val="60"/>
      </w:rPr>
      <w:t>Page</w:t>
    </w:r>
    <w:r w:rsidR="00BD7D85" w:rsidRPr="00757B58">
      <w:rPr>
        <w:color w:val="8496B0" w:themeColor="text2" w:themeTint="99"/>
      </w:rPr>
      <w:t xml:space="preserve"> </w:t>
    </w:r>
    <w:r w:rsidR="00BD7D85" w:rsidRPr="00757B58">
      <w:rPr>
        <w:color w:val="323E4F" w:themeColor="text2" w:themeShade="BF"/>
      </w:rPr>
      <w:fldChar w:fldCharType="begin"/>
    </w:r>
    <w:r w:rsidR="00BD7D85" w:rsidRPr="00757B58">
      <w:rPr>
        <w:color w:val="323E4F" w:themeColor="text2" w:themeShade="BF"/>
      </w:rPr>
      <w:instrText xml:space="preserve"> PAGE   \* MERGEFORMAT </w:instrText>
    </w:r>
    <w:r w:rsidR="00BD7D85" w:rsidRPr="00757B58">
      <w:rPr>
        <w:color w:val="323E4F" w:themeColor="text2" w:themeShade="BF"/>
      </w:rPr>
      <w:fldChar w:fldCharType="separate"/>
    </w:r>
    <w:r w:rsidR="00BD7D85">
      <w:rPr>
        <w:color w:val="323E4F" w:themeColor="text2" w:themeShade="BF"/>
      </w:rPr>
      <w:t>1</w:t>
    </w:r>
    <w:r w:rsidR="00BD7D85" w:rsidRPr="00757B58">
      <w:rPr>
        <w:color w:val="323E4F" w:themeColor="text2" w:themeShade="BF"/>
      </w:rPr>
      <w:fldChar w:fldCharType="end"/>
    </w:r>
    <w:r w:rsidR="00BD7D85" w:rsidRPr="00757B58">
      <w:rPr>
        <w:color w:val="323E4F" w:themeColor="text2" w:themeShade="BF"/>
      </w:rPr>
      <w:t xml:space="preserve"> | </w:t>
    </w:r>
    <w:r w:rsidR="00BD7D85" w:rsidRPr="00757B58">
      <w:rPr>
        <w:color w:val="323E4F" w:themeColor="text2" w:themeShade="BF"/>
      </w:rPr>
      <w:fldChar w:fldCharType="begin"/>
    </w:r>
    <w:r w:rsidR="00BD7D85" w:rsidRPr="00757B58">
      <w:rPr>
        <w:color w:val="323E4F" w:themeColor="text2" w:themeShade="BF"/>
      </w:rPr>
      <w:instrText xml:space="preserve"> NUMPAGES  \* Arabic  \* MERGEFORMAT </w:instrText>
    </w:r>
    <w:r w:rsidR="00BD7D85" w:rsidRPr="00757B58">
      <w:rPr>
        <w:color w:val="323E4F" w:themeColor="text2" w:themeShade="BF"/>
      </w:rPr>
      <w:fldChar w:fldCharType="separate"/>
    </w:r>
    <w:r w:rsidR="00BD7D85">
      <w:rPr>
        <w:color w:val="323E4F" w:themeColor="text2" w:themeShade="BF"/>
      </w:rPr>
      <w:t>1</w:t>
    </w:r>
    <w:r w:rsidR="00BD7D85" w:rsidRPr="00757B58">
      <w:rPr>
        <w:color w:val="323E4F" w:themeColor="text2" w:themeShade="BF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8AF8D" w14:textId="77777777" w:rsidR="00194D39" w:rsidRDefault="00194D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F3310" w14:textId="77777777" w:rsidR="005C0125" w:rsidRDefault="005C0125" w:rsidP="00BD7D85">
      <w:pPr>
        <w:spacing w:after="0" w:line="240" w:lineRule="auto"/>
      </w:pPr>
      <w:r>
        <w:separator/>
      </w:r>
    </w:p>
  </w:footnote>
  <w:footnote w:type="continuationSeparator" w:id="0">
    <w:p w14:paraId="29038E37" w14:textId="77777777" w:rsidR="005C0125" w:rsidRDefault="005C0125" w:rsidP="00BD7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D4469" w14:textId="77777777" w:rsidR="00194D39" w:rsidRDefault="00194D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4FED7" w14:textId="2E67F315" w:rsidR="00E05741" w:rsidRDefault="00893C5B">
    <w:pPr>
      <w:pStyle w:val="Header"/>
    </w:pPr>
    <w:r>
      <w:object w:dxaOrig="1308" w:dyaOrig="1152" w14:anchorId="207B6C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4.8pt;height:57.6pt" fillcolor="window">
          <v:imagedata r:id="rId1" o:title=""/>
        </v:shape>
        <o:OLEObject Type="Embed" ProgID="Word.Picture.8" ShapeID="_x0000_i1025" DrawAspect="Content" ObjectID="_1710240904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73548" w14:textId="51A8BE7E" w:rsidR="005B29C7" w:rsidRDefault="00893C5B">
    <w:pPr>
      <w:pStyle w:val="Header"/>
    </w:pPr>
    <w:r>
      <w:object w:dxaOrig="1308" w:dyaOrig="1152" w14:anchorId="122FDF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64.8pt;height:57.6pt" fillcolor="window">
          <v:imagedata r:id="rId1" o:title=""/>
        </v:shape>
        <o:OLEObject Type="Embed" ProgID="Word.Picture.8" ShapeID="_x0000_i1026" DrawAspect="Content" ObjectID="_1710240905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B5D35"/>
    <w:multiLevelType w:val="multilevel"/>
    <w:tmpl w:val="07E4F004"/>
    <w:lvl w:ilvl="0">
      <w:start w:val="1"/>
      <w:numFmt w:val="decimal"/>
      <w:pStyle w:val="Heading1"/>
      <w:lvlText w:val="Part 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Zero"/>
      <w:pStyle w:val="Heading2"/>
      <w:suff w:val="space"/>
      <w:lvlText w:val="%1.%2 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upperLetter"/>
      <w:lvlText w:val="%3"/>
      <w:lvlJc w:val="left"/>
      <w:pPr>
        <w:ind w:left="1080" w:hanging="360"/>
      </w:pPr>
      <w:rPr>
        <w:rFonts w:hint="default"/>
        <w:b/>
        <w:bCs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9C315A3"/>
    <w:multiLevelType w:val="multilevel"/>
    <w:tmpl w:val="658C31B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B3A19F5"/>
    <w:multiLevelType w:val="multilevel"/>
    <w:tmpl w:val="658C31B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96F7E9D"/>
    <w:multiLevelType w:val="multilevel"/>
    <w:tmpl w:val="7BFABABC"/>
    <w:lvl w:ilvl="0">
      <w:start w:val="1"/>
      <w:numFmt w:val="decimal"/>
      <w:lvlText w:val="%1.01)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EAD0515"/>
    <w:multiLevelType w:val="multilevel"/>
    <w:tmpl w:val="7BFABABC"/>
    <w:lvl w:ilvl="0">
      <w:start w:val="1"/>
      <w:numFmt w:val="decimal"/>
      <w:lvlText w:val="%1.01)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06D"/>
    <w:rsid w:val="00004E52"/>
    <w:rsid w:val="000137F3"/>
    <w:rsid w:val="000241E3"/>
    <w:rsid w:val="0002518E"/>
    <w:rsid w:val="00042AB2"/>
    <w:rsid w:val="00060755"/>
    <w:rsid w:val="0006326C"/>
    <w:rsid w:val="00064CBD"/>
    <w:rsid w:val="00085EAA"/>
    <w:rsid w:val="000C12B4"/>
    <w:rsid w:val="000C191C"/>
    <w:rsid w:val="000C694B"/>
    <w:rsid w:val="000D2F7C"/>
    <w:rsid w:val="000D52F1"/>
    <w:rsid w:val="000E0C6F"/>
    <w:rsid w:val="000E2D4C"/>
    <w:rsid w:val="000F1ADD"/>
    <w:rsid w:val="000F2DF9"/>
    <w:rsid w:val="000F5DA7"/>
    <w:rsid w:val="00102BBA"/>
    <w:rsid w:val="0011720B"/>
    <w:rsid w:val="00117533"/>
    <w:rsid w:val="00117750"/>
    <w:rsid w:val="00145C8F"/>
    <w:rsid w:val="001508BF"/>
    <w:rsid w:val="00151D07"/>
    <w:rsid w:val="00156631"/>
    <w:rsid w:val="00161E8B"/>
    <w:rsid w:val="00186501"/>
    <w:rsid w:val="00194D39"/>
    <w:rsid w:val="001A0EFC"/>
    <w:rsid w:val="001A7EBB"/>
    <w:rsid w:val="001B08BE"/>
    <w:rsid w:val="001B48A1"/>
    <w:rsid w:val="001E5959"/>
    <w:rsid w:val="00230B04"/>
    <w:rsid w:val="002333C8"/>
    <w:rsid w:val="002426DA"/>
    <w:rsid w:val="00242791"/>
    <w:rsid w:val="002462D3"/>
    <w:rsid w:val="00252E4F"/>
    <w:rsid w:val="002553DC"/>
    <w:rsid w:val="00290E63"/>
    <w:rsid w:val="00295CC9"/>
    <w:rsid w:val="002A6E68"/>
    <w:rsid w:val="002A7B06"/>
    <w:rsid w:val="002D314E"/>
    <w:rsid w:val="002E6E7D"/>
    <w:rsid w:val="002F74A2"/>
    <w:rsid w:val="003229C8"/>
    <w:rsid w:val="00344396"/>
    <w:rsid w:val="003477E3"/>
    <w:rsid w:val="00350B06"/>
    <w:rsid w:val="00364B42"/>
    <w:rsid w:val="00380194"/>
    <w:rsid w:val="003B4DCB"/>
    <w:rsid w:val="003F2256"/>
    <w:rsid w:val="0040766F"/>
    <w:rsid w:val="00415B2F"/>
    <w:rsid w:val="004162AA"/>
    <w:rsid w:val="00452F38"/>
    <w:rsid w:val="00487EED"/>
    <w:rsid w:val="004B2C6A"/>
    <w:rsid w:val="004C2A03"/>
    <w:rsid w:val="004E4062"/>
    <w:rsid w:val="00503861"/>
    <w:rsid w:val="005151FA"/>
    <w:rsid w:val="005179F3"/>
    <w:rsid w:val="00523D3C"/>
    <w:rsid w:val="00527C3D"/>
    <w:rsid w:val="005376A0"/>
    <w:rsid w:val="00543C19"/>
    <w:rsid w:val="00547AD6"/>
    <w:rsid w:val="00551EC2"/>
    <w:rsid w:val="0059234C"/>
    <w:rsid w:val="005946C6"/>
    <w:rsid w:val="005A4FB0"/>
    <w:rsid w:val="005B29C7"/>
    <w:rsid w:val="005C0125"/>
    <w:rsid w:val="005D2B9A"/>
    <w:rsid w:val="005D3154"/>
    <w:rsid w:val="005F639D"/>
    <w:rsid w:val="00613098"/>
    <w:rsid w:val="00617BDC"/>
    <w:rsid w:val="00621DE6"/>
    <w:rsid w:val="006465CD"/>
    <w:rsid w:val="006623B9"/>
    <w:rsid w:val="0067706D"/>
    <w:rsid w:val="00677BDF"/>
    <w:rsid w:val="00682D9D"/>
    <w:rsid w:val="006C25F2"/>
    <w:rsid w:val="006D00F4"/>
    <w:rsid w:val="006E5BC0"/>
    <w:rsid w:val="007416A0"/>
    <w:rsid w:val="00751F9B"/>
    <w:rsid w:val="0075365E"/>
    <w:rsid w:val="00753E80"/>
    <w:rsid w:val="0076479A"/>
    <w:rsid w:val="00773072"/>
    <w:rsid w:val="00773CF9"/>
    <w:rsid w:val="00774896"/>
    <w:rsid w:val="00780E39"/>
    <w:rsid w:val="00783125"/>
    <w:rsid w:val="007873F2"/>
    <w:rsid w:val="00787501"/>
    <w:rsid w:val="00796D3B"/>
    <w:rsid w:val="007D2165"/>
    <w:rsid w:val="00810074"/>
    <w:rsid w:val="008170D7"/>
    <w:rsid w:val="0082715C"/>
    <w:rsid w:val="00874BC9"/>
    <w:rsid w:val="00893C5B"/>
    <w:rsid w:val="00897467"/>
    <w:rsid w:val="008A3D84"/>
    <w:rsid w:val="008C06A0"/>
    <w:rsid w:val="008E30E7"/>
    <w:rsid w:val="009076E9"/>
    <w:rsid w:val="00907FC1"/>
    <w:rsid w:val="009144D5"/>
    <w:rsid w:val="009476D1"/>
    <w:rsid w:val="00972A65"/>
    <w:rsid w:val="009B0044"/>
    <w:rsid w:val="009D152F"/>
    <w:rsid w:val="009F38A3"/>
    <w:rsid w:val="00A026B7"/>
    <w:rsid w:val="00A04A0A"/>
    <w:rsid w:val="00A62197"/>
    <w:rsid w:val="00A652EE"/>
    <w:rsid w:val="00A70BF2"/>
    <w:rsid w:val="00AA6B23"/>
    <w:rsid w:val="00AB2055"/>
    <w:rsid w:val="00AD09B2"/>
    <w:rsid w:val="00AF60BF"/>
    <w:rsid w:val="00AF6D82"/>
    <w:rsid w:val="00AF7EFC"/>
    <w:rsid w:val="00B143E7"/>
    <w:rsid w:val="00B17B91"/>
    <w:rsid w:val="00B24F9D"/>
    <w:rsid w:val="00B43F83"/>
    <w:rsid w:val="00B45B00"/>
    <w:rsid w:val="00B6052A"/>
    <w:rsid w:val="00B63D11"/>
    <w:rsid w:val="00B72B30"/>
    <w:rsid w:val="00B826CD"/>
    <w:rsid w:val="00BB3D55"/>
    <w:rsid w:val="00BD7D85"/>
    <w:rsid w:val="00BE4742"/>
    <w:rsid w:val="00BF6D75"/>
    <w:rsid w:val="00C01331"/>
    <w:rsid w:val="00C170DC"/>
    <w:rsid w:val="00C25BC5"/>
    <w:rsid w:val="00C35CA0"/>
    <w:rsid w:val="00C578AD"/>
    <w:rsid w:val="00C634D1"/>
    <w:rsid w:val="00C74906"/>
    <w:rsid w:val="00C841FC"/>
    <w:rsid w:val="00C90C29"/>
    <w:rsid w:val="00CB4242"/>
    <w:rsid w:val="00CB712A"/>
    <w:rsid w:val="00CD7FD2"/>
    <w:rsid w:val="00D053B4"/>
    <w:rsid w:val="00D31D31"/>
    <w:rsid w:val="00D36F11"/>
    <w:rsid w:val="00D71020"/>
    <w:rsid w:val="00D80987"/>
    <w:rsid w:val="00D94439"/>
    <w:rsid w:val="00DD5DC0"/>
    <w:rsid w:val="00DE15EA"/>
    <w:rsid w:val="00E0071B"/>
    <w:rsid w:val="00E05741"/>
    <w:rsid w:val="00E1445A"/>
    <w:rsid w:val="00E241D2"/>
    <w:rsid w:val="00E51277"/>
    <w:rsid w:val="00E63EB8"/>
    <w:rsid w:val="00E67798"/>
    <w:rsid w:val="00E85E73"/>
    <w:rsid w:val="00EB3637"/>
    <w:rsid w:val="00ED770A"/>
    <w:rsid w:val="00EE32D3"/>
    <w:rsid w:val="00EF2CE0"/>
    <w:rsid w:val="00F0138A"/>
    <w:rsid w:val="00F14388"/>
    <w:rsid w:val="00F21926"/>
    <w:rsid w:val="00F625EF"/>
    <w:rsid w:val="00F761BC"/>
    <w:rsid w:val="00FB3646"/>
    <w:rsid w:val="00FE4FED"/>
    <w:rsid w:val="00FE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DF0992"/>
  <w15:chartTrackingRefBased/>
  <w15:docId w15:val="{60679E70-2D12-40D6-B9B8-5F4993D3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9C7"/>
  </w:style>
  <w:style w:type="paragraph" w:styleId="Heading1">
    <w:name w:val="heading 1"/>
    <w:basedOn w:val="ListParagraph"/>
    <w:next w:val="Normal"/>
    <w:link w:val="Heading1Char"/>
    <w:uiPriority w:val="9"/>
    <w:qFormat/>
    <w:rsid w:val="00787501"/>
    <w:pPr>
      <w:numPr>
        <w:numId w:val="5"/>
      </w:numPr>
      <w:outlineLvl w:val="0"/>
    </w:pPr>
    <w:rPr>
      <w:b/>
      <w:bCs/>
    </w:rPr>
  </w:style>
  <w:style w:type="paragraph" w:styleId="Heading2">
    <w:name w:val="heading 2"/>
    <w:basedOn w:val="Heading1"/>
    <w:next w:val="NoSpacing"/>
    <w:link w:val="Heading2Char"/>
    <w:uiPriority w:val="9"/>
    <w:unhideWhenUsed/>
    <w:qFormat/>
    <w:rsid w:val="00787501"/>
    <w:pPr>
      <w:numPr>
        <w:ilvl w:val="1"/>
      </w:num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0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7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D85"/>
  </w:style>
  <w:style w:type="paragraph" w:styleId="Footer">
    <w:name w:val="footer"/>
    <w:basedOn w:val="Normal"/>
    <w:link w:val="FooterChar"/>
    <w:uiPriority w:val="99"/>
    <w:unhideWhenUsed/>
    <w:rsid w:val="00BD7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D85"/>
  </w:style>
  <w:style w:type="character" w:styleId="PlaceholderText">
    <w:name w:val="Placeholder Text"/>
    <w:basedOn w:val="DefaultParagraphFont"/>
    <w:uiPriority w:val="99"/>
    <w:semiHidden/>
    <w:rsid w:val="00BD7D85"/>
    <w:rPr>
      <w:color w:val="2E74B5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BD7D85"/>
    <w:pPr>
      <w:spacing w:after="0" w:line="276" w:lineRule="auto"/>
      <w:jc w:val="right"/>
    </w:pPr>
    <w:rPr>
      <w:sz w:val="20"/>
      <w:szCs w:val="18"/>
    </w:rPr>
  </w:style>
  <w:style w:type="character" w:styleId="Hyperlink">
    <w:name w:val="Hyperlink"/>
    <w:basedOn w:val="DefaultParagraphFont"/>
    <w:uiPriority w:val="99"/>
    <w:unhideWhenUsed/>
    <w:rsid w:val="00BD7D85"/>
    <w:rPr>
      <w:color w:val="806000" w:themeColor="accent4" w:themeShade="80"/>
      <w:sz w:val="2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87501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787501"/>
    <w:rPr>
      <w:b/>
      <w:bCs/>
    </w:rPr>
  </w:style>
  <w:style w:type="paragraph" w:styleId="NoSpacing">
    <w:name w:val="No Spacing"/>
    <w:uiPriority w:val="1"/>
    <w:qFormat/>
    <w:rsid w:val="00787501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632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326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632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00858-2639-4A0D-938B-3DFC2C7E7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Broeth</dc:creator>
  <cp:keywords/>
  <dc:description/>
  <cp:lastModifiedBy>Martin Broeth</cp:lastModifiedBy>
  <cp:revision>46</cp:revision>
  <cp:lastPrinted>2022-03-30T18:53:00Z</cp:lastPrinted>
  <dcterms:created xsi:type="dcterms:W3CDTF">2022-03-30T23:11:00Z</dcterms:created>
  <dcterms:modified xsi:type="dcterms:W3CDTF">2022-03-31T21:03:00Z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